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231F20"/>
          <w:sz w:val="18"/>
          <w:szCs w:val="18"/>
        </w:rPr>
        <w:t>ANEXA</w:t>
      </w:r>
      <w:r>
        <w:rPr>
          <w:rFonts w:ascii="Times New Roman" w:eastAsia="Times New Roman" w:hAnsi="Times New Roman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18"/>
          <w:szCs w:val="18"/>
        </w:rPr>
        <w:t>nr.</w:t>
      </w:r>
      <w:r>
        <w:rPr>
          <w:rFonts w:ascii="Times New Roman" w:eastAsia="Times New Roman" w:hAnsi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18"/>
          <w:szCs w:val="18"/>
        </w:rPr>
        <w:t>3</w:t>
      </w:r>
      <w:r>
        <w:rPr>
          <w:rFonts w:ascii="Times New Roman" w:eastAsia="Times New Roman" w:hAnsi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18"/>
          <w:szCs w:val="18"/>
        </w:rPr>
        <w:t>la</w:t>
      </w:r>
      <w:r>
        <w:rPr>
          <w:rFonts w:ascii="Times New Roman" w:eastAsia="Times New Roman" w:hAnsi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/>
          <w:b/>
          <w:bCs/>
          <w:color w:val="231F20"/>
          <w:w w:val="103"/>
          <w:sz w:val="18"/>
          <w:szCs w:val="18"/>
        </w:rPr>
        <w:t>todol</w:t>
      </w:r>
      <w:r>
        <w:rPr>
          <w:rFonts w:ascii="Times New Roman" w:eastAsia="Times New Roman" w:hAnsi="Times New Roman"/>
          <w:b/>
          <w:bCs/>
          <w:color w:val="231F20"/>
          <w:spacing w:val="2"/>
          <w:w w:val="103"/>
          <w:sz w:val="18"/>
          <w:szCs w:val="18"/>
        </w:rPr>
        <w:t>o</w:t>
      </w:r>
      <w:r>
        <w:rPr>
          <w:rFonts w:ascii="Times New Roman" w:eastAsia="Times New Roman" w:hAnsi="Times New Roman"/>
          <w:b/>
          <w:bCs/>
          <w:color w:val="231F20"/>
          <w:w w:val="103"/>
          <w:sz w:val="18"/>
          <w:szCs w:val="18"/>
        </w:rPr>
        <w:t>gie</w:t>
      </w:r>
    </w:p>
    <w:p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FIŞA DISCIPLINEI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 Instituţia de învăţământ superior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Universitatea Babeş - Bolyai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Facultatea / Departamentul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 Catedra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 fizică şi tehnică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 Domeniul de studii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Geografie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 Ciclul de studii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Licenţă</w:t>
            </w:r>
          </w:p>
        </w:tc>
      </w:tr>
      <w:tr>
        <w:tc>
          <w:tcPr>
            <w:tcW w:w="31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 Programul de studii/Calificarea</w:t>
            </w:r>
          </w:p>
        </w:tc>
        <w:tc>
          <w:tcPr>
            <w:tcW w:w="568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Cartografie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Date despre disciplină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0"/>
        <w:gridCol w:w="1109"/>
        <w:gridCol w:w="543"/>
        <w:gridCol w:w="1620"/>
        <w:gridCol w:w="900"/>
        <w:gridCol w:w="1756"/>
        <w:gridCol w:w="1418"/>
      </w:tblGrid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Denumirea discilinei</w:t>
            </w:r>
          </w:p>
        </w:tc>
        <w:tc>
          <w:tcPr>
            <w:tcW w:w="6237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Stagiu de practica I</w:t>
            </w:r>
          </w:p>
        </w:tc>
      </w:tr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Titularul activităţilor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l dr. Hodor Nicolaie/ S l dr ing. Vele Dan</w:t>
            </w:r>
          </w:p>
        </w:tc>
      </w:tr>
      <w:tr>
        <w:tc>
          <w:tcPr>
            <w:tcW w:w="2660" w:type="dxa"/>
            <w:gridSpan w:val="3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 Titularul activităţilor de seminar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l dr. ing Vele Dan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Anul de studiu</w:t>
            </w:r>
          </w:p>
        </w:tc>
        <w:tc>
          <w:tcPr>
            <w:tcW w:w="45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0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Semestrul</w:t>
            </w:r>
          </w:p>
        </w:tc>
        <w:tc>
          <w:tcPr>
            <w:tcW w:w="5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2.6 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Tip de evaluare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Vp, Colocviu</w:t>
            </w:r>
          </w:p>
        </w:tc>
        <w:tc>
          <w:tcPr>
            <w:tcW w:w="175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Regimul disciplinei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obligatorie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Timpul total estimat</w:t>
      </w:r>
      <w:r>
        <w:rPr>
          <w:rFonts w:ascii="Times New Roman" w:hAnsi="Times New Roman"/>
          <w:sz w:val="18"/>
          <w:szCs w:val="18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720"/>
        <w:gridCol w:w="1619"/>
        <w:gridCol w:w="540"/>
        <w:gridCol w:w="1979"/>
        <w:gridCol w:w="651"/>
      </w:tblGrid>
      <w:tr>
        <w:tc>
          <w:tcPr>
            <w:tcW w:w="334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 Număr de ore pe săptămână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3.2 curs</w:t>
            </w:r>
          </w:p>
        </w:tc>
        <w:tc>
          <w:tcPr>
            <w:tcW w:w="54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3.3 seminar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 Total ore din planul de învăţământ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19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3.2 curs</w:t>
            </w:r>
          </w:p>
        </w:tc>
        <w:tc>
          <w:tcPr>
            <w:tcW w:w="54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care: 3.3 seminar</w:t>
            </w:r>
          </w:p>
        </w:tc>
        <w:tc>
          <w:tcPr>
            <w:tcW w:w="651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Distribuţia fondului de timp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Studiu după manual, suport de curs, bibliografie şi notiţe, lucrari de laborator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Documentare suplimentară în bibliotecă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Pregătire seminarii/laboratoare, teme, referate, portofolii şi eseuri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Tutoriat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Examinări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c>
          <w:tcPr>
            <w:tcW w:w="8205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Alte activităţi</w:t>
            </w:r>
          </w:p>
        </w:tc>
        <w:tc>
          <w:tcPr>
            <w:tcW w:w="6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3.7 Total ore studiu individual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 Total ore pe semestru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>
        <w:trPr>
          <w:gridAfter w:val="4"/>
          <w:wAfter w:w="4789" w:type="dxa"/>
        </w:trPr>
        <w:tc>
          <w:tcPr>
            <w:tcW w:w="3347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3.9 Număr de credite</w:t>
            </w:r>
          </w:p>
        </w:tc>
        <w:tc>
          <w:tcPr>
            <w:tcW w:w="72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Precondiţii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>
        <w:tc>
          <w:tcPr>
            <w:tcW w:w="190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 de curiculum</w:t>
            </w:r>
          </w:p>
        </w:tc>
        <w:tc>
          <w:tcPr>
            <w:tcW w:w="694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Practica anul I, Topografie și cartografie generală</w:t>
            </w:r>
          </w:p>
        </w:tc>
      </w:tr>
      <w:tr>
        <w:tc>
          <w:tcPr>
            <w:tcW w:w="190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 de competenţe</w:t>
            </w:r>
          </w:p>
        </w:tc>
        <w:tc>
          <w:tcPr>
            <w:tcW w:w="694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Cunoasterea hărții și a realizării ei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Condiţii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>
        <w:tc>
          <w:tcPr>
            <w:tcW w:w="262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de desfăşurare a cursului</w:t>
            </w:r>
          </w:p>
        </w:tc>
        <w:tc>
          <w:tcPr>
            <w:tcW w:w="6228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62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 desfăşurare 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seminarului/laboratorului</w:t>
            </w:r>
          </w:p>
        </w:tc>
        <w:tc>
          <w:tcPr>
            <w:tcW w:w="622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Rețea de calculatoare, softuri specifice.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Cursanţii vor utiliza aparatura de specialitate (teodolite, staţii totale, nivele, GPS, calculatoare, scannere, plottere etc.)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48"/>
        <w:gridCol w:w="8208"/>
      </w:tblGrid>
      <w:tr>
        <w:trPr>
          <w:cantSplit/>
          <w:trHeight w:val="1134"/>
        </w:trPr>
        <w:tc>
          <w:tcPr>
            <w:tcW w:w="648" w:type="dxa"/>
            <w:shd w:val="clear" w:color="auto" w:fill="D9D9D9"/>
            <w:textDirection w:val="btLr"/>
          </w:tcPr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Competenţe profesionale</w:t>
            </w:r>
          </w:p>
        </w:tc>
        <w:tc>
          <w:tcPr>
            <w:tcW w:w="8208" w:type="dxa"/>
            <w:shd w:val="clear" w:color="auto" w:fill="D9D9D9"/>
          </w:tcPr>
          <w:p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participanții vor fi capabili să realizeze hărţi digitale, să utilizeze principalele softuri (Corell, ArcWiew, ArcInfo)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cantSplit/>
          <w:trHeight w:val="1386"/>
        </w:trPr>
        <w:tc>
          <w:tcPr>
            <w:tcW w:w="648" w:type="dxa"/>
            <w:shd w:val="clear" w:color="auto" w:fill="D9D9D9"/>
            <w:textDirection w:val="btLr"/>
            <w:vAlign w:val="center"/>
          </w:tcPr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Competenţe</w:t>
            </w:r>
          </w:p>
          <w:p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transversale</w:t>
            </w:r>
          </w:p>
        </w:tc>
        <w:tc>
          <w:tcPr>
            <w:tcW w:w="8208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vor fi în măsură să lucreze în echipă;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vor fi capabili să interpreteze rezultatele obţinute în observaţii în teren;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Obiectivele disciplinei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5"/>
        <w:gridCol w:w="5771"/>
      </w:tblGrid>
      <w:tr>
        <w:tc>
          <w:tcPr>
            <w:tcW w:w="3085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 Obiectivul general al disciplinei</w:t>
            </w:r>
          </w:p>
        </w:tc>
        <w:tc>
          <w:tcPr>
            <w:tcW w:w="5771" w:type="dxa"/>
            <w:shd w:val="clear" w:color="auto" w:fill="D9D9D9"/>
          </w:tcPr>
          <w:p>
            <w:pPr>
              <w:pStyle w:val="BodyText"/>
              <w:ind w:firstLine="283"/>
              <w:jc w:val="both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*   </w:t>
            </w:r>
            <w:r>
              <w:rPr>
                <w:b w:val="0"/>
                <w:sz w:val="18"/>
                <w:szCs w:val="18"/>
                <w:lang w:val="pt-BR"/>
              </w:rPr>
              <w:t>Practica are scopul de a furniza studenţilor suficiente cunoştinţe pentru ca să execute h</w:t>
            </w:r>
            <w:r>
              <w:rPr>
                <w:b w:val="0"/>
                <w:sz w:val="18"/>
                <w:szCs w:val="18"/>
                <w:lang w:val="ro-RO"/>
              </w:rPr>
              <w:t xml:space="preserve">ărţi şi planuri digitale </w:t>
            </w:r>
            <w:r>
              <w:rPr>
                <w:b w:val="0"/>
                <w:sz w:val="18"/>
                <w:szCs w:val="18"/>
                <w:lang w:val="pt-BR"/>
              </w:rPr>
              <w:t xml:space="preserve">şi să cunoască softurile de specialitate. </w:t>
            </w:r>
          </w:p>
        </w:tc>
      </w:tr>
      <w:tr>
        <w:tc>
          <w:tcPr>
            <w:tcW w:w="3085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 Obiectivele specifice</w:t>
            </w:r>
          </w:p>
        </w:tc>
        <w:tc>
          <w:tcPr>
            <w:tcW w:w="5771" w:type="dxa"/>
            <w:shd w:val="clear" w:color="auto" w:fill="D9D9D9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Culegere date, Scanare, Digitizare, Intocmire hărți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1944"/>
      </w:tblGrid>
      <w:tr>
        <w:tc>
          <w:tcPr>
            <w:tcW w:w="5070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 Practica în laborator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Metode de predare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Observaţii</w:t>
            </w: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ZIUA I: Instructaj şi prezentarea programului. Împărţirea studenţilor pe grupe. Pregătirea materialelor pentru lucru. Repartiţia materialelor/ regiunilor. Prezentarea metodelor de lucru. </w:t>
            </w:r>
          </w:p>
          <w:p>
            <w:pPr>
              <w:ind w:left="360"/>
              <w:rPr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Ridicări topografice, scanarea, georeferenţierea şi digitizarea hărţilor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explicaţia, comparaţia, problematizarea, experimentul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ZIUA II:  Digitizarea hărţilor.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explicaţia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III: Digitizarea hărţilor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explicaţia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ZIUA IV:  Intocmirea materialelor scrise şi a hărţilor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explicaţia, comparaţia, problematizarea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ZIUA V: Colocviu final, prezentarea proiectului şi analiza rezultatelor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856" w:type="dxa"/>
            <w:gridSpan w:val="3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5070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856" w:type="dxa"/>
            <w:gridSpan w:val="3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>
        <w:tc>
          <w:tcPr>
            <w:tcW w:w="8856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măsurătorile se vor desfăşura conform normelor şi metodologiei existente pe plan naţional şi internaţional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3118"/>
        <w:gridCol w:w="1377"/>
      </w:tblGrid>
      <w:tr>
        <w:tc>
          <w:tcPr>
            <w:tcW w:w="2093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 activitate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 Criterii de evaluare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 Metode de evaluare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 pondere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 nota finală</w:t>
            </w:r>
          </w:p>
        </w:tc>
      </w:tr>
      <w:tr>
        <w:trPr>
          <w:trHeight w:val="215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Practică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sintetizarea informaţiilor 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Vp, Colocviu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50 %</w:t>
            </w:r>
          </w:p>
        </w:tc>
      </w:tr>
      <w:tr>
        <w:trPr>
          <w:trHeight w:val="170"/>
        </w:trPr>
        <w:tc>
          <w:tcPr>
            <w:tcW w:w="2093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cunoaşterea noţiunilor și metodelor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Vp, Colocviu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50 %</w:t>
            </w:r>
          </w:p>
        </w:tc>
      </w:tr>
      <w:t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2093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8856" w:type="dxa"/>
            <w:gridSpan w:val="4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10.6 Standard minim de performanţă</w:t>
            </w:r>
          </w:p>
        </w:tc>
      </w:tr>
      <w:tr>
        <w:tc>
          <w:tcPr>
            <w:tcW w:w="8856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cel puţin nota 5 la ambele elemente verificate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pStyle w:val="Heading2"/>
        <w:tabs>
          <w:tab w:val="num" w:pos="540"/>
        </w:tabs>
        <w:ind w:left="540" w:hanging="180"/>
        <w:jc w:val="left"/>
        <w:rPr>
          <w:sz w:val="20"/>
        </w:rPr>
      </w:pPr>
      <w:r>
        <w:rPr>
          <w:sz w:val="20"/>
        </w:rPr>
        <w:t>Bibliografia obligatorie: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spacing w:line="288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1. Băican, V. (2002), </w:t>
      </w:r>
      <w:r>
        <w:rPr>
          <w:rFonts w:ascii="Times New Roman" w:hAnsi="Times New Roman"/>
          <w:i/>
          <w:sz w:val="20"/>
          <w:szCs w:val="20"/>
          <w:lang w:val="it-IT"/>
        </w:rPr>
        <w:t>Cartografie</w:t>
      </w:r>
      <w:r>
        <w:rPr>
          <w:rFonts w:ascii="Times New Roman" w:hAnsi="Times New Roman"/>
          <w:sz w:val="20"/>
          <w:szCs w:val="20"/>
          <w:lang w:val="it-IT"/>
        </w:rPr>
        <w:t>, Edit. Universităţii „Al. I. Cuza, Iaşi.</w:t>
      </w:r>
    </w:p>
    <w:p>
      <w:pPr>
        <w:spacing w:line="288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pt-BR"/>
        </w:rPr>
        <w:t xml:space="preserve">2. Coteţ, P. (1954), </w:t>
      </w:r>
      <w:r>
        <w:rPr>
          <w:rFonts w:ascii="Times New Roman" w:hAnsi="Times New Roman"/>
          <w:i/>
          <w:snapToGrid w:val="0"/>
          <w:sz w:val="20"/>
          <w:szCs w:val="20"/>
          <w:lang w:val="pt-BR"/>
        </w:rPr>
        <w:t>Metode de reprezentare cartografica</w:t>
      </w:r>
      <w:r>
        <w:rPr>
          <w:rFonts w:ascii="Times New Roman" w:hAnsi="Times New Roman"/>
          <w:snapToGrid w:val="0"/>
          <w:sz w:val="20"/>
          <w:szCs w:val="20"/>
          <w:lang w:val="pt-BR"/>
        </w:rPr>
        <w:t xml:space="preserve">, Edit. 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Tehnica Bucuresti.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lastRenderedPageBreak/>
        <w:t xml:space="preserve">3. Fodorean, I., Man, T., Moldovan, C. (2007),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Curs practic de cartografie şi GIS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, Universitatea „Babeş-Bolyai”, Facultatea de Geografie, uz intern, 114 pag., Cluj-Napoca.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t xml:space="preserve">4. Isacenko N. (1962),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Cartografierea fizico-geografica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, Edit. Stiintifica, Bucuresti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5. Ilieş, M. (2003) </w:t>
      </w:r>
      <w:r>
        <w:rPr>
          <w:rFonts w:ascii="Times New Roman" w:hAnsi="Times New Roman"/>
          <w:i/>
          <w:sz w:val="20"/>
          <w:szCs w:val="20"/>
          <w:lang w:val="it-IT"/>
        </w:rPr>
        <w:t>Cartografiere turistică computerizată</w:t>
      </w:r>
      <w:r>
        <w:rPr>
          <w:rFonts w:ascii="Times New Roman" w:hAnsi="Times New Roman"/>
          <w:sz w:val="20"/>
          <w:szCs w:val="20"/>
          <w:lang w:val="it-IT"/>
        </w:rPr>
        <w:t xml:space="preserve">, Editura Univ. </w:t>
      </w:r>
      <w:r>
        <w:rPr>
          <w:rFonts w:ascii="Times New Roman" w:hAnsi="Times New Roman"/>
          <w:sz w:val="20"/>
          <w:szCs w:val="20"/>
        </w:rPr>
        <w:t>Oradea.</w:t>
      </w:r>
    </w:p>
    <w:p>
      <w:pPr>
        <w:rPr>
          <w:rFonts w:ascii="Times New Roman" w:hAnsi="Times New Roman"/>
          <w:snapToGrid w:val="0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6. Irimus I. A (1997), </w:t>
      </w:r>
      <w:r>
        <w:rPr>
          <w:rFonts w:ascii="Times New Roman" w:hAnsi="Times New Roman"/>
          <w:i/>
          <w:sz w:val="20"/>
          <w:szCs w:val="20"/>
          <w:lang w:val="it-IT"/>
        </w:rPr>
        <w:t>Cartografie geomorfologică</w:t>
      </w:r>
      <w:r>
        <w:rPr>
          <w:rFonts w:ascii="Times New Roman" w:hAnsi="Times New Roman"/>
          <w:sz w:val="20"/>
          <w:szCs w:val="20"/>
          <w:lang w:val="it-IT"/>
        </w:rPr>
        <w:t>, Edit. Focul Viu, Cluj-Napoca.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t xml:space="preserve">7. Hilt, V.(1958),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Cartografie economico-geografică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. Edit. Didactică si Pedagogică, Bucureşti.</w:t>
      </w:r>
    </w:p>
    <w:p>
      <w:pPr>
        <w:jc w:val="both"/>
        <w:rPr>
          <w:rFonts w:ascii="Times New Roman" w:hAnsi="Times New Roman"/>
          <w:snapToGrid w:val="0"/>
          <w:sz w:val="20"/>
          <w:szCs w:val="20"/>
          <w:lang w:val="it-IT"/>
        </w:rPr>
      </w:pPr>
      <w:r>
        <w:rPr>
          <w:rFonts w:ascii="Times New Roman" w:hAnsi="Times New Roman"/>
          <w:snapToGrid w:val="0"/>
          <w:sz w:val="20"/>
          <w:szCs w:val="20"/>
          <w:lang w:val="it-IT"/>
        </w:rPr>
        <w:t xml:space="preserve">8. Nastase, A. (1983), </w:t>
      </w:r>
      <w:r>
        <w:rPr>
          <w:rFonts w:ascii="Times New Roman" w:hAnsi="Times New Roman"/>
          <w:i/>
          <w:snapToGrid w:val="0"/>
          <w:sz w:val="20"/>
          <w:szCs w:val="20"/>
          <w:lang w:val="it-IT"/>
        </w:rPr>
        <w:t>Particularitati si metode în întocmirea hartilor tematice</w:t>
      </w:r>
      <w:r>
        <w:rPr>
          <w:rFonts w:ascii="Times New Roman" w:hAnsi="Times New Roman"/>
          <w:snapToGrid w:val="0"/>
          <w:sz w:val="20"/>
          <w:szCs w:val="20"/>
          <w:lang w:val="it-IT"/>
        </w:rPr>
        <w:t>. Sinteze geografice. Edit. Didactica si Pedagogica, Bucuresti.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9. 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Năstase, A., Osaci-Costache Gabriela, (2001),</w:t>
      </w:r>
      <w:r>
        <w:rPr>
          <w:rFonts w:ascii="Times New Roman" w:hAnsi="Times New Roman"/>
          <w:b/>
          <w:i/>
          <w:color w:val="000000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Topografie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 –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 xml:space="preserve"> Cartografie,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 Edit. Fundaţiei ”România de mâine”, Bucureşti.</w:t>
      </w:r>
    </w:p>
    <w:p>
      <w:pPr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10. Oncu, M.  (2002),    Cartografie   pedologica,    Univ.  Babes-Bolyai,    Facultatea    de Geografie, uz intern, Cluj-Napoca. 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Cărţile se află la Biblioteca Facultăţii de Geografie.</w:t>
      </w:r>
    </w:p>
    <w:p>
      <w:pPr>
        <w:pStyle w:val="Heading2"/>
        <w:tabs>
          <w:tab w:val="num" w:pos="540"/>
        </w:tabs>
        <w:ind w:left="540" w:hanging="180"/>
        <w:jc w:val="left"/>
        <w:rPr>
          <w:sz w:val="20"/>
        </w:rPr>
      </w:pPr>
      <w:r>
        <w:rPr>
          <w:sz w:val="20"/>
        </w:rPr>
        <w:t>Bibliografia opţională: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Anson, R. W., Ormeling, F. (1993), “</w:t>
      </w:r>
      <w:r>
        <w:rPr>
          <w:rFonts w:ascii="Times New Roman" w:hAnsi="Times New Roman"/>
          <w:i/>
          <w:color w:val="000000"/>
          <w:sz w:val="20"/>
          <w:szCs w:val="20"/>
        </w:rPr>
        <w:t>Basic Cartography for students and technicians</w:t>
      </w:r>
      <w:r>
        <w:rPr>
          <w:rFonts w:ascii="Times New Roman" w:hAnsi="Times New Roman"/>
          <w:color w:val="000000"/>
          <w:sz w:val="20"/>
          <w:szCs w:val="20"/>
        </w:rPr>
        <w:t>”, volume 1, 2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 xml:space="preserve"> Edition, I. C. A., Elsevier, London.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Băican, V. (2003), </w:t>
      </w:r>
      <w:r>
        <w:rPr>
          <w:rFonts w:ascii="Times New Roman" w:hAnsi="Times New Roman"/>
          <w:i/>
          <w:sz w:val="20"/>
          <w:szCs w:val="20"/>
        </w:rPr>
        <w:t>Cartografie. Lucrări practice</w:t>
      </w:r>
      <w:r>
        <w:rPr>
          <w:rFonts w:ascii="Times New Roman" w:hAnsi="Times New Roman"/>
          <w:sz w:val="20"/>
          <w:szCs w:val="20"/>
        </w:rPr>
        <w:t>, Edit. Universităţii „Al. I. Cuza, Iaşi.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Boş, N. (1993) </w:t>
      </w:r>
      <w:r>
        <w:rPr>
          <w:rFonts w:ascii="Times New Roman" w:hAnsi="Times New Roman"/>
          <w:i/>
          <w:color w:val="000000"/>
          <w:sz w:val="20"/>
          <w:szCs w:val="20"/>
        </w:rPr>
        <w:t>Topografie,</w:t>
      </w:r>
      <w:r>
        <w:rPr>
          <w:rFonts w:ascii="Times New Roman" w:hAnsi="Times New Roman"/>
          <w:color w:val="000000"/>
          <w:sz w:val="20"/>
          <w:szCs w:val="20"/>
        </w:rPr>
        <w:t xml:space="preserve"> Editura Didactică şi Pedagogică Bucureşti.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Buz, V., Săndulache, Al. (1984),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Cartografie</w:t>
      </w:r>
      <w:r>
        <w:rPr>
          <w:rFonts w:ascii="Times New Roman" w:hAnsi="Times New Roman"/>
          <w:color w:val="000000"/>
          <w:sz w:val="20"/>
          <w:szCs w:val="20"/>
        </w:rPr>
        <w:t>,  Universitatea  „Babeş-Bolyai” Cluj-Napoca,  Facultatea  de  Biologie,  Geografie  şi  Geologie, Cluj-Napoca.</w:t>
      </w:r>
    </w:p>
    <w:p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Chitea GH., Vorovenci I. (2000), </w:t>
      </w:r>
      <w:r>
        <w:rPr>
          <w:rFonts w:ascii="Times New Roman" w:hAnsi="Times New Roman"/>
          <w:i/>
          <w:iCs/>
          <w:sz w:val="20"/>
          <w:szCs w:val="20"/>
        </w:rPr>
        <w:t xml:space="preserve">Topografie inginerească, </w:t>
      </w:r>
      <w:r>
        <w:rPr>
          <w:rFonts w:ascii="Times New Roman" w:hAnsi="Times New Roman"/>
          <w:iCs/>
          <w:sz w:val="20"/>
          <w:szCs w:val="20"/>
        </w:rPr>
        <w:t>Editura Univ. Transilvania, Braşov.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6. Constantinescu I. (1999), </w:t>
      </w:r>
      <w:r>
        <w:rPr>
          <w:rFonts w:ascii="Times New Roman" w:hAnsi="Times New Roman"/>
          <w:i/>
          <w:iCs/>
          <w:sz w:val="20"/>
          <w:szCs w:val="20"/>
        </w:rPr>
        <w:t>Curs de topografie generală şi inginerească</w:t>
      </w:r>
      <w:r>
        <w:rPr>
          <w:rFonts w:ascii="Times New Roman" w:hAnsi="Times New Roman"/>
          <w:iCs/>
          <w:sz w:val="20"/>
          <w:szCs w:val="20"/>
        </w:rPr>
        <w:t>,  tipografia Univ. din Craiova.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Cristescu, N., Ursea, V., Neamţu, M., Sebastian-Taub, M.,  - "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Topografie </w:t>
      </w:r>
      <w:r>
        <w:rPr>
          <w:rFonts w:ascii="Times New Roman" w:hAnsi="Times New Roman"/>
          <w:color w:val="000000"/>
          <w:sz w:val="20"/>
          <w:szCs w:val="20"/>
        </w:rPr>
        <w:t xml:space="preserve">", Edit. Did. şi Ped. Bucureşti, 1980. 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8. Dohotar, V., (2001), </w:t>
      </w:r>
      <w:r>
        <w:rPr>
          <w:rFonts w:ascii="Times New Roman" w:hAnsi="Times New Roman"/>
          <w:i/>
          <w:color w:val="000000"/>
          <w:sz w:val="20"/>
          <w:szCs w:val="20"/>
        </w:rPr>
        <w:t>Elemente de topografie generală</w:t>
      </w:r>
      <w:r>
        <w:rPr>
          <w:rFonts w:ascii="Times New Roman" w:hAnsi="Times New Roman"/>
          <w:color w:val="000000"/>
          <w:sz w:val="20"/>
          <w:szCs w:val="20"/>
        </w:rPr>
        <w:t>, Presa universitară clujeană, Cluj-Napoca.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9. Fodorean, I. (2005), </w:t>
      </w:r>
      <w:r>
        <w:rPr>
          <w:rFonts w:ascii="Times New Roman" w:hAnsi="Times New Roman"/>
          <w:i/>
          <w:color w:val="000000"/>
          <w:sz w:val="20"/>
          <w:szCs w:val="20"/>
        </w:rPr>
        <w:t>Cartografie. Lucrări practice</w:t>
      </w:r>
      <w:r>
        <w:rPr>
          <w:rFonts w:ascii="Times New Roman" w:hAnsi="Times New Roman"/>
          <w:color w:val="000000"/>
          <w:sz w:val="20"/>
          <w:szCs w:val="20"/>
        </w:rPr>
        <w:t>, Universitatea „Babeş-Bolyai”, Facultatea de Geografie, uz intern, Cluj-Napoca.</w:t>
      </w:r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Florea, V. (2002), Sisteme de poziţionare globală, NAVSTAR GPS, Editura Academiei Tehnice Militare, Bucureşti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Ilieş M. (2003), </w:t>
      </w:r>
      <w:r>
        <w:rPr>
          <w:rFonts w:ascii="Times New Roman" w:hAnsi="Times New Roman"/>
          <w:i/>
          <w:sz w:val="20"/>
          <w:szCs w:val="20"/>
        </w:rPr>
        <w:t>Cartografiere turistică computerizată</w:t>
      </w:r>
      <w:r>
        <w:rPr>
          <w:rFonts w:ascii="Times New Roman" w:hAnsi="Times New Roman"/>
          <w:sz w:val="20"/>
          <w:szCs w:val="20"/>
        </w:rPr>
        <w:t>, Editura Universităţii din Oradea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 xml:space="preserve">12. Kraak, M.-J., Brown (1996), A, </w:t>
      </w:r>
      <w:r>
        <w:rPr>
          <w:rFonts w:ascii="Times New Roman" w:hAnsi="Times New Roman"/>
          <w:i/>
          <w:sz w:val="20"/>
          <w:szCs w:val="20"/>
        </w:rPr>
        <w:t>Web cartography: developments and prospects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it-IT"/>
        </w:rPr>
        <w:t>London. [</w:t>
      </w:r>
      <w:hyperlink r:id="rId5" w:history="1">
        <w:r>
          <w:rPr>
            <w:rStyle w:val="Hyperlink"/>
            <w:rFonts w:ascii="Times New Roman" w:hAnsi="Times New Roman"/>
            <w:sz w:val="20"/>
            <w:szCs w:val="20"/>
            <w:lang w:val="it-IT"/>
          </w:rPr>
          <w:t>http://kartoweb.itc.nl/webcartography/webbook/</w:t>
        </w:r>
      </w:hyperlink>
      <w:r>
        <w:rPr>
          <w:rFonts w:ascii="Times New Roman" w:hAnsi="Times New Roman"/>
          <w:sz w:val="20"/>
          <w:szCs w:val="20"/>
          <w:lang w:val="it-IT"/>
        </w:rPr>
        <w:t>]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16. Linc, Ribana (2000), </w:t>
      </w:r>
      <w:r>
        <w:rPr>
          <w:rFonts w:ascii="Times New Roman" w:hAnsi="Times New Roman"/>
          <w:i/>
          <w:sz w:val="20"/>
          <w:szCs w:val="20"/>
          <w:lang w:val="it-IT"/>
        </w:rPr>
        <w:t>Studiul hărţii</w:t>
      </w:r>
      <w:r>
        <w:rPr>
          <w:rFonts w:ascii="Times New Roman" w:hAnsi="Times New Roman"/>
          <w:sz w:val="20"/>
          <w:szCs w:val="20"/>
          <w:lang w:val="it-IT"/>
        </w:rPr>
        <w:t>, Editura Universităţii din Oradea, Oradea.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17. Maguire, D. J. (1989), </w:t>
      </w:r>
      <w:r>
        <w:rPr>
          <w:rFonts w:ascii="Times New Roman" w:hAnsi="Times New Roman"/>
          <w:i/>
          <w:iCs/>
          <w:sz w:val="20"/>
          <w:szCs w:val="20"/>
        </w:rPr>
        <w:t>Computers in Geography</w:t>
      </w:r>
      <w:r>
        <w:rPr>
          <w:rFonts w:ascii="Times New Roman" w:hAnsi="Times New Roman"/>
          <w:sz w:val="20"/>
          <w:szCs w:val="20"/>
        </w:rPr>
        <w:t>, Longman, Harlow.</w:t>
      </w:r>
    </w:p>
    <w:p>
      <w:pPr>
        <w:jc w:val="both"/>
        <w:rPr>
          <w:rFonts w:ascii="Times New Roman" w:hAnsi="Times New Roman"/>
          <w:sz w:val="20"/>
          <w:szCs w:val="20"/>
          <w:lang w:val="nl-BE"/>
        </w:rPr>
      </w:pPr>
      <w:r>
        <w:rPr>
          <w:rFonts w:ascii="Times New Roman" w:hAnsi="Times New Roman"/>
          <w:sz w:val="20"/>
          <w:szCs w:val="20"/>
          <w:lang w:val="nl-BE"/>
        </w:rPr>
        <w:t xml:space="preserve">18. Man, T. (2004), </w:t>
      </w:r>
      <w:r>
        <w:rPr>
          <w:rFonts w:ascii="Times New Roman" w:hAnsi="Times New Roman"/>
          <w:i/>
          <w:sz w:val="20"/>
          <w:szCs w:val="20"/>
          <w:lang w:val="nl-BE"/>
        </w:rPr>
        <w:t>Iniţieri practice în GIS</w:t>
      </w:r>
      <w:r>
        <w:rPr>
          <w:rFonts w:ascii="Times New Roman" w:hAnsi="Times New Roman"/>
          <w:sz w:val="20"/>
          <w:szCs w:val="20"/>
          <w:lang w:val="nl-BE"/>
        </w:rPr>
        <w:t>, Universitatea „Babeş-Bolyai”, Facultatea de Geografie, Cluj-Napoca.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19. </w:t>
      </w:r>
      <w:r>
        <w:rPr>
          <w:rFonts w:ascii="Times New Roman" w:hAnsi="Times New Roman"/>
          <w:sz w:val="20"/>
          <w:szCs w:val="20"/>
          <w:lang w:val="it-IT"/>
        </w:rPr>
        <w:t>Neuner, J. (2000) Sisteme de poziţionare globală, Editura Matrix Rom, Bucureşti.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20. </w:t>
      </w:r>
      <w:r>
        <w:rPr>
          <w:rFonts w:ascii="Times New Roman" w:hAnsi="Times New Roman"/>
          <w:sz w:val="20"/>
          <w:szCs w:val="20"/>
        </w:rPr>
        <w:t xml:space="preserve">Orghidan, T., Cenan, N., (2000), </w:t>
      </w:r>
      <w:r>
        <w:rPr>
          <w:rFonts w:ascii="Times New Roman" w:hAnsi="Times New Roman"/>
          <w:i/>
          <w:sz w:val="20"/>
          <w:szCs w:val="20"/>
        </w:rPr>
        <w:t>Topografie – Lucrări de laborator</w:t>
      </w:r>
      <w:r>
        <w:rPr>
          <w:rFonts w:ascii="Times New Roman" w:hAnsi="Times New Roman"/>
          <w:sz w:val="20"/>
          <w:szCs w:val="20"/>
        </w:rPr>
        <w:t>, Editura U. T. PRES,   Cluj-Napoca.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Ortelecan M. (2006), Geodezie, Academic Press, Cluj-Napoca.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Rus, I., Buz, V. (2003), </w:t>
      </w:r>
      <w:r>
        <w:rPr>
          <w:rFonts w:ascii="Times New Roman" w:hAnsi="Times New Roman"/>
          <w:i/>
          <w:sz w:val="20"/>
          <w:szCs w:val="20"/>
        </w:rPr>
        <w:t>Geografie tehnică. Cartografie</w:t>
      </w:r>
      <w:r>
        <w:rPr>
          <w:rFonts w:ascii="Times New Roman" w:hAnsi="Times New Roman"/>
          <w:sz w:val="20"/>
          <w:szCs w:val="20"/>
        </w:rPr>
        <w:t>, Editura Silvania, Zalău.</w:t>
      </w:r>
    </w:p>
    <w:p>
      <w:pPr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>23. Russu A., “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Topografie cu elemente de </w:t>
      </w:r>
      <w:r>
        <w:rPr>
          <w:rFonts w:ascii="Times New Roman" w:hAnsi="Times New Roman"/>
          <w:i/>
          <w:color w:val="000000"/>
          <w:sz w:val="20"/>
          <w:szCs w:val="20"/>
          <w:lang w:val="it-IT"/>
        </w:rPr>
        <w:t>geodezie şi fotogrammetrie</w:t>
      </w:r>
      <w:r>
        <w:rPr>
          <w:rFonts w:ascii="Times New Roman" w:hAnsi="Times New Roman"/>
          <w:b/>
          <w:i/>
          <w:color w:val="000000"/>
          <w:sz w:val="20"/>
          <w:szCs w:val="20"/>
          <w:lang w:val="it-IT"/>
        </w:rPr>
        <w:t>”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,  Edit. Agrosilvică, Bucureşti, 1968.</w:t>
      </w:r>
    </w:p>
    <w:p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24. Săndulache, Al., Sficlea, V. (1970), </w:t>
      </w:r>
      <w:r>
        <w:rPr>
          <w:rFonts w:ascii="Times New Roman" w:hAnsi="Times New Roman"/>
          <w:i/>
          <w:sz w:val="20"/>
          <w:szCs w:val="20"/>
          <w:lang w:val="it-IT"/>
        </w:rPr>
        <w:t>Cartografie-Topografie</w:t>
      </w:r>
      <w:r>
        <w:rPr>
          <w:rFonts w:ascii="Times New Roman" w:hAnsi="Times New Roman"/>
          <w:sz w:val="20"/>
          <w:szCs w:val="20"/>
          <w:lang w:val="it-IT"/>
        </w:rPr>
        <w:t>, Edit. Didactică şi Pedagogică, Bucureşti.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http://leica.com.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http://sokkia.com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 http://topcon.com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Cărţile se află la Biblioteca Facultăţii de Geografie.</w:t>
      </w:r>
    </w:p>
    <w:p>
      <w:pPr>
        <w:jc w:val="both"/>
        <w:rPr>
          <w:color w:val="000000"/>
        </w:rPr>
      </w:pPr>
    </w:p>
    <w:p/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00"/>
        <w:gridCol w:w="1886"/>
        <w:gridCol w:w="2952"/>
      </w:tblGrid>
      <w:tr>
        <w:tc>
          <w:tcPr>
            <w:tcW w:w="25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completării</w:t>
            </w:r>
          </w:p>
        </w:tc>
        <w:tc>
          <w:tcPr>
            <w:tcW w:w="3386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Semnătura titularului de curs</w:t>
            </w:r>
          </w:p>
        </w:tc>
        <w:tc>
          <w:tcPr>
            <w:tcW w:w="29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Semnătura titularului de seminar</w:t>
            </w:r>
          </w:p>
        </w:tc>
      </w:tr>
      <w:tr>
        <w:tc>
          <w:tcPr>
            <w:tcW w:w="25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30.04.2020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3386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o-RO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814704" cy="458271"/>
                  <wp:effectExtent l="0" t="0" r="5080" b="0"/>
                  <wp:docPr id="2" name="Picture 2" descr="C:\Users\Nicolae\Desktop\IMAG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ae\Desktop\IMAG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4" cy="4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401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avizării în departament</w:t>
            </w:r>
          </w:p>
        </w:tc>
        <w:tc>
          <w:tcPr>
            <w:tcW w:w="483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Semnătura şefului de departament</w:t>
            </w:r>
          </w:p>
        </w:tc>
      </w:tr>
    </w:tbl>
    <w:p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5400AF"/>
    <w:multiLevelType w:val="multilevel"/>
    <w:tmpl w:val="C1324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066DB7"/>
    <w:multiLevelType w:val="hybridMultilevel"/>
    <w:tmpl w:val="83E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45662-033F-4371-B69F-96CFB0A5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kia.com" TargetMode="External"/><Relationship Id="rId5" Type="http://schemas.openxmlformats.org/officeDocument/2006/relationships/hyperlink" Target="http://kartoweb.itc.nl/webcartography/webbo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ER</cp:lastModifiedBy>
  <cp:revision>7</cp:revision>
  <dcterms:created xsi:type="dcterms:W3CDTF">2017-01-24T21:56:00Z</dcterms:created>
  <dcterms:modified xsi:type="dcterms:W3CDTF">2020-04-30T11:30:00Z</dcterms:modified>
</cp:coreProperties>
</file>